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6A4" w:rsidRDefault="00017813">
      <w:pPr>
        <w:widowControl w:val="0"/>
        <w:tabs>
          <w:tab w:val="right" w:pos="9356"/>
          <w:tab w:val="right" w:pos="9781"/>
        </w:tabs>
        <w:spacing w:before="120" w:line="276" w:lineRule="auto"/>
        <w:ind w:right="-58"/>
        <w:rPr>
          <w:rFonts w:ascii="Arial" w:eastAsia="Arial" w:hAnsi="Arial" w:cs="Arial"/>
          <w:sz w:val="26"/>
          <w:szCs w:val="26"/>
        </w:rPr>
      </w:pPr>
      <w:r>
        <w:rPr>
          <w:rFonts w:ascii="Arial" w:eastAsia="Arial" w:hAnsi="Arial" w:cs="Arial"/>
          <w:b/>
          <w:sz w:val="26"/>
          <w:szCs w:val="26"/>
        </w:rPr>
        <w:t>3GPP TSG RAN WG1 Meeting #92b</w:t>
      </w:r>
      <w:r>
        <w:rPr>
          <w:rFonts w:ascii="Arial" w:eastAsia="Arial" w:hAnsi="Arial" w:cs="Arial"/>
          <w:b/>
          <w:sz w:val="26"/>
          <w:szCs w:val="26"/>
        </w:rPr>
        <w:tab/>
        <w:t>R1-1803953</w:t>
      </w:r>
    </w:p>
    <w:p w:rsidR="00A346A4" w:rsidRDefault="00017813">
      <w:pPr>
        <w:widowControl w:val="0"/>
        <w:pBdr>
          <w:bottom w:val="single" w:sz="12" w:space="1" w:color="000000"/>
        </w:pBdr>
        <w:spacing w:before="120" w:line="276" w:lineRule="auto"/>
        <w:jc w:val="both"/>
        <w:rPr>
          <w:rFonts w:ascii="Arial" w:eastAsia="Arial" w:hAnsi="Arial" w:cs="Arial"/>
          <w:sz w:val="26"/>
          <w:szCs w:val="26"/>
        </w:rPr>
      </w:pPr>
      <w:r>
        <w:rPr>
          <w:rFonts w:ascii="Arial" w:eastAsia="Arial" w:hAnsi="Arial" w:cs="Arial"/>
          <w:b/>
          <w:sz w:val="26"/>
          <w:szCs w:val="26"/>
        </w:rPr>
        <w:t>Sanya, China 16</w:t>
      </w:r>
      <w:r>
        <w:rPr>
          <w:rFonts w:ascii="Arial" w:eastAsia="Arial" w:hAnsi="Arial" w:cs="Arial"/>
          <w:b/>
          <w:sz w:val="26"/>
          <w:szCs w:val="26"/>
          <w:vertAlign w:val="superscript"/>
        </w:rPr>
        <w:t>th</w:t>
      </w:r>
      <w:r>
        <w:rPr>
          <w:rFonts w:ascii="Arial" w:eastAsia="Arial" w:hAnsi="Arial" w:cs="Arial"/>
          <w:b/>
          <w:sz w:val="26"/>
          <w:szCs w:val="26"/>
        </w:rPr>
        <w:t xml:space="preserve"> – 20</w:t>
      </w:r>
      <w:r>
        <w:rPr>
          <w:rFonts w:ascii="Arial" w:eastAsia="Arial" w:hAnsi="Arial" w:cs="Arial"/>
          <w:b/>
          <w:sz w:val="26"/>
          <w:szCs w:val="26"/>
          <w:vertAlign w:val="superscript"/>
        </w:rPr>
        <w:t>th</w:t>
      </w:r>
      <w:r>
        <w:rPr>
          <w:rFonts w:ascii="Arial" w:eastAsia="Arial" w:hAnsi="Arial" w:cs="Arial"/>
          <w:b/>
          <w:sz w:val="26"/>
          <w:szCs w:val="26"/>
        </w:rPr>
        <w:t xml:space="preserve"> Apr. 2018</w:t>
      </w:r>
    </w:p>
    <w:p w:rsidR="00A346A4" w:rsidRDefault="00A346A4">
      <w:pPr>
        <w:widowControl w:val="0"/>
        <w:pBdr>
          <w:bottom w:val="single" w:sz="12" w:space="1" w:color="000000"/>
        </w:pBdr>
        <w:spacing w:before="120" w:line="276" w:lineRule="auto"/>
        <w:jc w:val="both"/>
        <w:rPr>
          <w:rFonts w:ascii="Arial" w:eastAsia="Arial" w:hAnsi="Arial" w:cs="Arial"/>
          <w:sz w:val="26"/>
          <w:szCs w:val="26"/>
        </w:rPr>
      </w:pPr>
    </w:p>
    <w:p w:rsidR="00A346A4" w:rsidRDefault="00017813">
      <w:pPr>
        <w:widowControl w:val="0"/>
        <w:spacing w:line="276" w:lineRule="auto"/>
        <w:jc w:val="both"/>
        <w:rPr>
          <w:rFonts w:ascii="Arial" w:eastAsia="Arial" w:hAnsi="Arial" w:cs="Arial"/>
          <w:sz w:val="26"/>
          <w:szCs w:val="26"/>
        </w:rPr>
      </w:pPr>
      <w:r>
        <w:rPr>
          <w:rFonts w:ascii="Arial" w:eastAsia="Arial" w:hAnsi="Arial" w:cs="Arial"/>
          <w:b/>
          <w:sz w:val="24"/>
          <w:szCs w:val="24"/>
        </w:rPr>
        <w:t>Agenda item: 7.4.1</w:t>
      </w:r>
      <w:r>
        <w:rPr>
          <w:rFonts w:ascii="Arial" w:eastAsia="Arial" w:hAnsi="Arial" w:cs="Arial"/>
          <w:sz w:val="24"/>
          <w:szCs w:val="24"/>
        </w:rPr>
        <w:t xml:space="preserve"> </w:t>
      </w:r>
    </w:p>
    <w:p w:rsidR="00A346A4" w:rsidRDefault="00017813">
      <w:pPr>
        <w:widowControl w:val="0"/>
        <w:spacing w:line="276" w:lineRule="auto"/>
        <w:jc w:val="both"/>
        <w:rPr>
          <w:rFonts w:ascii="Arial" w:eastAsia="Arial" w:hAnsi="Arial" w:cs="Arial"/>
          <w:sz w:val="24"/>
          <w:szCs w:val="24"/>
        </w:rPr>
      </w:pPr>
      <w:r>
        <w:rPr>
          <w:rFonts w:ascii="Arial" w:eastAsia="Arial" w:hAnsi="Arial" w:cs="Arial"/>
          <w:b/>
          <w:sz w:val="24"/>
          <w:szCs w:val="24"/>
        </w:rPr>
        <w:t>Source:</w:t>
      </w:r>
      <w:r>
        <w:rPr>
          <w:rFonts w:ascii="Arial" w:eastAsia="Arial" w:hAnsi="Arial" w:cs="Arial"/>
          <w:sz w:val="24"/>
          <w:szCs w:val="24"/>
        </w:rPr>
        <w:t xml:space="preserve"> Google, Inc.</w:t>
      </w:r>
    </w:p>
    <w:p w:rsidR="00A346A4" w:rsidRDefault="00017813">
      <w:pPr>
        <w:widowControl w:val="0"/>
        <w:spacing w:line="276" w:lineRule="auto"/>
        <w:ind w:left="695" w:hanging="695"/>
        <w:jc w:val="both"/>
        <w:rPr>
          <w:rFonts w:ascii="Arial" w:eastAsia="Arial" w:hAnsi="Arial" w:cs="Arial"/>
          <w:sz w:val="24"/>
          <w:szCs w:val="24"/>
        </w:rPr>
      </w:pPr>
      <w:r>
        <w:rPr>
          <w:rFonts w:ascii="Arial" w:eastAsia="Arial" w:hAnsi="Arial" w:cs="Arial"/>
          <w:b/>
          <w:sz w:val="24"/>
          <w:szCs w:val="24"/>
        </w:rPr>
        <w:t xml:space="preserve">Title: </w:t>
      </w:r>
      <w:r>
        <w:rPr>
          <w:rFonts w:ascii="Arial" w:eastAsia="Arial" w:hAnsi="Arial" w:cs="Arial"/>
          <w:sz w:val="24"/>
          <w:szCs w:val="24"/>
        </w:rPr>
        <w:t>Considerations on NOMA schemes</w:t>
      </w:r>
    </w:p>
    <w:p w:rsidR="00A346A4" w:rsidRDefault="00017813">
      <w:pPr>
        <w:widowControl w:val="0"/>
        <w:pBdr>
          <w:bottom w:val="single" w:sz="12" w:space="1" w:color="000000"/>
        </w:pBdr>
        <w:spacing w:line="276" w:lineRule="auto"/>
        <w:ind w:left="695" w:hanging="695"/>
        <w:jc w:val="both"/>
        <w:rPr>
          <w:color w:val="FF9900"/>
          <w:sz w:val="22"/>
          <w:szCs w:val="22"/>
        </w:rPr>
      </w:pPr>
      <w:r>
        <w:rPr>
          <w:rFonts w:ascii="Arial" w:eastAsia="Arial" w:hAnsi="Arial" w:cs="Arial"/>
          <w:b/>
          <w:sz w:val="24"/>
          <w:szCs w:val="24"/>
        </w:rPr>
        <w:t>Document for:</w:t>
      </w:r>
      <w:r>
        <w:rPr>
          <w:rFonts w:ascii="Arial" w:eastAsia="Arial" w:hAnsi="Arial" w:cs="Arial"/>
          <w:sz w:val="24"/>
          <w:szCs w:val="24"/>
        </w:rPr>
        <w:t xml:space="preserve"> Discussion and Decision</w:t>
      </w:r>
    </w:p>
    <w:p w:rsidR="00A346A4" w:rsidRDefault="00017813">
      <w:pPr>
        <w:numPr>
          <w:ilvl w:val="0"/>
          <w:numId w:val="3"/>
        </w:numPr>
        <w:spacing w:before="280" w:after="100" w:line="276" w:lineRule="auto"/>
        <w:jc w:val="both"/>
      </w:pPr>
      <w:r>
        <w:rPr>
          <w:rFonts w:eastAsia="Times New Roman"/>
          <w:b/>
          <w:sz w:val="28"/>
          <w:szCs w:val="28"/>
        </w:rPr>
        <w:t>Introduction</w:t>
      </w:r>
    </w:p>
    <w:p w:rsidR="00A346A4" w:rsidRDefault="00017813">
      <w:pPr>
        <w:spacing w:after="120" w:line="276" w:lineRule="auto"/>
        <w:jc w:val="both"/>
        <w:rPr>
          <w:sz w:val="22"/>
          <w:szCs w:val="22"/>
        </w:rPr>
      </w:pPr>
      <w:r>
        <w:rPr>
          <w:sz w:val="22"/>
          <w:szCs w:val="22"/>
        </w:rPr>
        <w:t>NOMA has been discussed since early NR SI phase, around 15 features were proposed and several MA signatures are identified in RAN1 #86b. mMTC is considered as a targeted use scenario.</w:t>
      </w:r>
      <w:r>
        <w:rPr>
          <w:rFonts w:ascii="Arial" w:eastAsia="Arial" w:hAnsi="Arial" w:cs="Arial"/>
          <w:sz w:val="22"/>
          <w:szCs w:val="22"/>
        </w:rPr>
        <w:t xml:space="preserve"> </w:t>
      </w:r>
    </w:p>
    <w:p w:rsidR="00A346A4" w:rsidRDefault="00017813">
      <w:pPr>
        <w:spacing w:after="120" w:line="276" w:lineRule="auto"/>
        <w:jc w:val="both"/>
        <w:rPr>
          <w:sz w:val="22"/>
          <w:szCs w:val="22"/>
        </w:rPr>
      </w:pPr>
      <w:r>
        <w:rPr>
          <w:sz w:val="22"/>
          <w:szCs w:val="22"/>
        </w:rPr>
        <w:t># 86b</w:t>
      </w:r>
    </w:p>
    <w:p w:rsidR="00A346A4" w:rsidRDefault="00017813">
      <w:pPr>
        <w:spacing w:after="120" w:line="276" w:lineRule="auto"/>
        <w:jc w:val="both"/>
        <w:rPr>
          <w:sz w:val="22"/>
          <w:szCs w:val="22"/>
        </w:rPr>
      </w:pPr>
      <w:r>
        <w:rPr>
          <w:sz w:val="22"/>
          <w:szCs w:val="22"/>
          <w:highlight w:val="green"/>
        </w:rPr>
        <w:t>Agreement:</w:t>
      </w:r>
      <w:r>
        <w:rPr>
          <w:sz w:val="22"/>
          <w:szCs w:val="22"/>
        </w:rPr>
        <w:t xml:space="preserve"> NR should target to support UL non-orthogonal multiple</w:t>
      </w:r>
      <w:r>
        <w:rPr>
          <w:sz w:val="22"/>
          <w:szCs w:val="22"/>
        </w:rPr>
        <w:t xml:space="preserve"> access, in addition to the orthogonal approach, targeting at least for mMTC</w:t>
      </w:r>
    </w:p>
    <w:p w:rsidR="00A346A4" w:rsidRDefault="00017813">
      <w:pPr>
        <w:spacing w:after="120" w:line="276" w:lineRule="auto"/>
        <w:jc w:val="both"/>
        <w:rPr>
          <w:sz w:val="22"/>
          <w:szCs w:val="22"/>
        </w:rPr>
      </w:pPr>
      <w:r>
        <w:rPr>
          <w:sz w:val="22"/>
          <w:szCs w:val="22"/>
        </w:rPr>
        <w:t>Proposal:</w:t>
      </w:r>
    </w:p>
    <w:p w:rsidR="00A346A4" w:rsidRDefault="00017813">
      <w:pPr>
        <w:spacing w:after="120" w:line="276" w:lineRule="auto"/>
        <w:ind w:left="1080" w:hanging="360"/>
        <w:jc w:val="both"/>
        <w:rPr>
          <w:sz w:val="22"/>
          <w:szCs w:val="22"/>
        </w:rPr>
      </w:pPr>
      <w:r>
        <w:rPr>
          <w:sz w:val="22"/>
          <w:szCs w:val="22"/>
        </w:rPr>
        <w:t>•        In the UL LLS evaluation of non-orthogonal multiple access for mMTC, it is recommended to consider at least the following</w:t>
      </w:r>
    </w:p>
    <w:p w:rsidR="00A346A4" w:rsidRDefault="00017813">
      <w:pPr>
        <w:spacing w:after="120" w:line="276" w:lineRule="auto"/>
        <w:ind w:left="1800" w:hanging="360"/>
        <w:jc w:val="both"/>
        <w:rPr>
          <w:sz w:val="22"/>
          <w:szCs w:val="22"/>
        </w:rPr>
      </w:pPr>
      <w:r>
        <w:rPr>
          <w:sz w:val="22"/>
          <w:szCs w:val="22"/>
        </w:rPr>
        <w:t>•        MA signature (e.g., code, codebook, sequence, interleaver, etc) collision</w:t>
      </w:r>
    </w:p>
    <w:p w:rsidR="00A346A4" w:rsidRDefault="00017813">
      <w:pPr>
        <w:spacing w:after="120" w:line="276" w:lineRule="auto"/>
        <w:ind w:left="1080" w:hanging="360"/>
        <w:jc w:val="both"/>
        <w:rPr>
          <w:sz w:val="22"/>
          <w:szCs w:val="22"/>
        </w:rPr>
      </w:pPr>
      <w:r>
        <w:rPr>
          <w:sz w:val="22"/>
          <w:szCs w:val="22"/>
        </w:rPr>
        <w:t>•        FFS Channel correlation between UEs</w:t>
      </w:r>
    </w:p>
    <w:p w:rsidR="00A346A4" w:rsidRDefault="00017813">
      <w:pPr>
        <w:spacing w:after="120" w:line="276" w:lineRule="auto"/>
        <w:ind w:left="1800" w:hanging="360"/>
        <w:jc w:val="both"/>
        <w:rPr>
          <w:sz w:val="22"/>
          <w:szCs w:val="22"/>
        </w:rPr>
      </w:pPr>
      <w:r>
        <w:rPr>
          <w:sz w:val="22"/>
          <w:szCs w:val="22"/>
        </w:rPr>
        <w:t>•        FFS detailed channel correlation model</w:t>
      </w:r>
    </w:p>
    <w:p w:rsidR="00A346A4" w:rsidRDefault="00017813">
      <w:pPr>
        <w:spacing w:after="120" w:line="276" w:lineRule="auto"/>
        <w:jc w:val="both"/>
        <w:rPr>
          <w:sz w:val="22"/>
          <w:szCs w:val="22"/>
        </w:rPr>
      </w:pPr>
      <w:r>
        <w:rPr>
          <w:sz w:val="22"/>
          <w:szCs w:val="22"/>
        </w:rPr>
        <w:t xml:space="preserve">In last meeting RAN1 #92, some LLS simulation parameter and metrics are agreed. </w:t>
      </w:r>
    </w:p>
    <w:p w:rsidR="00A346A4" w:rsidRDefault="00017813">
      <w:pPr>
        <w:spacing w:after="120" w:line="276" w:lineRule="auto"/>
        <w:jc w:val="both"/>
        <w:rPr>
          <w:sz w:val="22"/>
          <w:szCs w:val="22"/>
        </w:rPr>
      </w:pPr>
      <w:r>
        <w:rPr>
          <w:sz w:val="22"/>
          <w:szCs w:val="22"/>
        </w:rPr>
        <w:t># 92</w:t>
      </w:r>
    </w:p>
    <w:p w:rsidR="00A346A4" w:rsidRDefault="00017813">
      <w:pPr>
        <w:spacing w:after="120" w:line="276" w:lineRule="auto"/>
        <w:jc w:val="both"/>
        <w:rPr>
          <w:sz w:val="22"/>
          <w:szCs w:val="22"/>
        </w:rPr>
      </w:pPr>
      <w:r>
        <w:rPr>
          <w:sz w:val="22"/>
          <w:szCs w:val="22"/>
          <w:highlight w:val="green"/>
        </w:rPr>
        <w:t>Agreements</w:t>
      </w:r>
      <w:r>
        <w:rPr>
          <w:sz w:val="22"/>
          <w:szCs w:val="22"/>
        </w:rPr>
        <w:t>:</w:t>
      </w:r>
    </w:p>
    <w:p w:rsidR="00A346A4" w:rsidRDefault="00017813">
      <w:pPr>
        <w:spacing w:after="40" w:line="276" w:lineRule="auto"/>
        <w:ind w:left="1080" w:hanging="360"/>
        <w:jc w:val="both"/>
        <w:rPr>
          <w:sz w:val="22"/>
          <w:szCs w:val="22"/>
        </w:rPr>
      </w:pPr>
      <w:r>
        <w:rPr>
          <w:sz w:val="22"/>
          <w:szCs w:val="22"/>
        </w:rPr>
        <w:t>·        Adopt the following table as the metrics for NOMA study from link level point of view.</w:t>
      </w:r>
    </w:p>
    <w:p w:rsidR="00A346A4" w:rsidRDefault="00017813">
      <w:pPr>
        <w:spacing w:after="40" w:line="276" w:lineRule="auto"/>
        <w:ind w:left="1800" w:hanging="360"/>
        <w:jc w:val="both"/>
        <w:rPr>
          <w:sz w:val="22"/>
          <w:szCs w:val="22"/>
        </w:rPr>
      </w:pPr>
      <w:r>
        <w:rPr>
          <w:rFonts w:ascii="Courier New" w:eastAsia="Courier New" w:hAnsi="Courier New" w:cs="Courier New"/>
          <w:sz w:val="22"/>
          <w:szCs w:val="22"/>
        </w:rPr>
        <w:t xml:space="preserve">o   </w:t>
      </w:r>
      <w:r>
        <w:rPr>
          <w:sz w:val="22"/>
          <w:szCs w:val="22"/>
        </w:rPr>
        <w:t>More metrics may be added in the future</w:t>
      </w:r>
    </w:p>
    <w:tbl>
      <w:tblPr>
        <w:tblStyle w:val="a5"/>
        <w:tblW w:w="858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815"/>
        <w:gridCol w:w="6765"/>
      </w:tblGrid>
      <w:tr w:rsidR="00A346A4">
        <w:trPr>
          <w:trHeight w:val="1380"/>
        </w:trPr>
        <w:tc>
          <w:tcPr>
            <w:tcW w:w="1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346A4" w:rsidRDefault="00017813">
            <w:pPr>
              <w:spacing w:after="120" w:line="276" w:lineRule="auto"/>
              <w:ind w:left="140" w:right="140"/>
            </w:pPr>
            <w:r>
              <w:t>Performance metrics</w:t>
            </w:r>
          </w:p>
        </w:tc>
        <w:tc>
          <w:tcPr>
            <w:tcW w:w="67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A346A4" w:rsidRDefault="00017813">
            <w:pPr>
              <w:spacing w:after="120" w:line="276" w:lineRule="auto"/>
              <w:ind w:left="140" w:right="140"/>
            </w:pPr>
            <w:r>
              <w:t xml:space="preserve">BLER vs. per UE SNR at a given pair of {per UE SE, # of UEs} </w:t>
            </w:r>
          </w:p>
          <w:p w:rsidR="00A346A4" w:rsidRDefault="00017813">
            <w:pPr>
              <w:spacing w:after="120" w:line="276" w:lineRule="auto"/>
              <w:ind w:left="140" w:right="140"/>
            </w:pPr>
            <w:r>
              <w:t>Sum throughput v</w:t>
            </w:r>
            <w:r>
              <w:t>.s. SNR at given BLER level, for a given pair of {per UE SE, # of UEs}</w:t>
            </w:r>
          </w:p>
          <w:p w:rsidR="00A346A4" w:rsidRDefault="00017813">
            <w:pPr>
              <w:spacing w:after="120" w:line="276" w:lineRule="auto"/>
              <w:ind w:left="140" w:right="140"/>
            </w:pPr>
            <w:r>
              <w:t>MCL</w:t>
            </w:r>
          </w:p>
        </w:tc>
      </w:tr>
      <w:tr w:rsidR="00A346A4">
        <w:trPr>
          <w:trHeight w:val="1400"/>
        </w:trPr>
        <w:tc>
          <w:tcPr>
            <w:tcW w:w="18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346A4" w:rsidRDefault="00017813">
            <w:pPr>
              <w:spacing w:after="120" w:line="276" w:lineRule="auto"/>
              <w:ind w:left="140" w:right="140"/>
            </w:pPr>
            <w:r>
              <w:t>Implementation related metrics</w:t>
            </w:r>
          </w:p>
        </w:tc>
        <w:tc>
          <w:tcPr>
            <w:tcW w:w="6765" w:type="dxa"/>
            <w:tcBorders>
              <w:top w:val="nil"/>
              <w:left w:val="nil"/>
              <w:bottom w:val="single" w:sz="8" w:space="0" w:color="000000"/>
              <w:right w:val="single" w:sz="8" w:space="0" w:color="000000"/>
            </w:tcBorders>
            <w:tcMar>
              <w:top w:w="100" w:type="dxa"/>
              <w:left w:w="100" w:type="dxa"/>
              <w:bottom w:w="100" w:type="dxa"/>
              <w:right w:w="100" w:type="dxa"/>
            </w:tcMar>
          </w:tcPr>
          <w:p w:rsidR="00A346A4" w:rsidRDefault="00017813">
            <w:pPr>
              <w:spacing w:after="120" w:line="276" w:lineRule="auto"/>
              <w:ind w:left="140" w:right="140"/>
            </w:pPr>
            <w:r>
              <w:t>PAPR/cubic metric</w:t>
            </w:r>
          </w:p>
          <w:p w:rsidR="00A346A4" w:rsidRDefault="00017813">
            <w:pPr>
              <w:spacing w:after="120" w:line="276" w:lineRule="auto"/>
              <w:ind w:left="140" w:right="140"/>
            </w:pPr>
            <w:r>
              <w:t>Rx complexity and processing latency</w:t>
            </w:r>
          </w:p>
          <w:p w:rsidR="00A346A4" w:rsidRDefault="00017813">
            <w:pPr>
              <w:spacing w:after="120" w:line="276" w:lineRule="auto"/>
              <w:ind w:left="140" w:right="140"/>
            </w:pPr>
            <w:r>
              <w:t>FFS:  Configuration/Scheduling flexibility</w:t>
            </w:r>
          </w:p>
        </w:tc>
      </w:tr>
    </w:tbl>
    <w:p w:rsidR="00A346A4" w:rsidRDefault="00A346A4">
      <w:pPr>
        <w:spacing w:after="120" w:line="276" w:lineRule="auto"/>
        <w:jc w:val="both"/>
        <w:rPr>
          <w:sz w:val="22"/>
          <w:szCs w:val="22"/>
        </w:rPr>
      </w:pPr>
    </w:p>
    <w:p w:rsidR="00A346A4" w:rsidRDefault="00017813">
      <w:pPr>
        <w:spacing w:line="276" w:lineRule="auto"/>
        <w:rPr>
          <w:sz w:val="22"/>
          <w:szCs w:val="22"/>
        </w:rPr>
      </w:pPr>
      <w:r>
        <w:rPr>
          <w:sz w:val="22"/>
          <w:szCs w:val="22"/>
        </w:rPr>
        <w:t xml:space="preserve">The goal for the current step would be to </w:t>
      </w:r>
      <w:r>
        <w:rPr>
          <w:sz w:val="22"/>
          <w:szCs w:val="22"/>
        </w:rPr>
        <w:t xml:space="preserve">decide the LLS parameters and metrics as soon as possible and then narrow down the number of candidates based on the LLS performance. In this contribution, we provide our view on NOMA feature categorization and issues related to NOMA feature selection. </w:t>
      </w:r>
    </w:p>
    <w:p w:rsidR="00A346A4" w:rsidRDefault="00A346A4">
      <w:pPr>
        <w:spacing w:after="120" w:line="276" w:lineRule="auto"/>
        <w:jc w:val="both"/>
        <w:rPr>
          <w:sz w:val="22"/>
          <w:szCs w:val="22"/>
        </w:rPr>
      </w:pPr>
    </w:p>
    <w:p w:rsidR="00A346A4" w:rsidRDefault="00A346A4">
      <w:pPr>
        <w:spacing w:after="120" w:line="276" w:lineRule="auto"/>
        <w:jc w:val="both"/>
        <w:rPr>
          <w:sz w:val="22"/>
          <w:szCs w:val="22"/>
        </w:rPr>
      </w:pPr>
    </w:p>
    <w:p w:rsidR="00A346A4" w:rsidRDefault="00017813">
      <w:pPr>
        <w:numPr>
          <w:ilvl w:val="0"/>
          <w:numId w:val="3"/>
        </w:numPr>
        <w:spacing w:before="160" w:after="100" w:line="276" w:lineRule="auto"/>
        <w:jc w:val="both"/>
      </w:pPr>
      <w:r>
        <w:rPr>
          <w:rFonts w:eastAsia="Times New Roman"/>
          <w:b/>
          <w:sz w:val="28"/>
          <w:szCs w:val="28"/>
        </w:rPr>
        <w:t>Discussion</w:t>
      </w:r>
    </w:p>
    <w:p w:rsidR="00A346A4" w:rsidRDefault="00017813">
      <w:pPr>
        <w:spacing w:after="120" w:line="276" w:lineRule="auto"/>
        <w:jc w:val="both"/>
        <w:rPr>
          <w:b/>
          <w:sz w:val="22"/>
          <w:szCs w:val="22"/>
        </w:rPr>
      </w:pPr>
      <w:r>
        <w:rPr>
          <w:b/>
          <w:sz w:val="22"/>
          <w:szCs w:val="22"/>
        </w:rPr>
        <w:t>2.1 Categorization</w:t>
      </w:r>
    </w:p>
    <w:p w:rsidR="00A346A4" w:rsidRDefault="00017813">
      <w:pPr>
        <w:spacing w:after="200" w:line="276" w:lineRule="auto"/>
        <w:rPr>
          <w:color w:val="4A86E8"/>
          <w:sz w:val="22"/>
          <w:szCs w:val="22"/>
        </w:rPr>
      </w:pPr>
      <w:r>
        <w:rPr>
          <w:sz w:val="22"/>
          <w:szCs w:val="22"/>
        </w:rPr>
        <w:t>During the meeting #85 to #86b, companies proposed many ways to categorize these NOMA schemes</w:t>
      </w:r>
      <w:r>
        <w:rPr>
          <w:color w:val="FF0000"/>
          <w:sz w:val="22"/>
          <w:szCs w:val="22"/>
        </w:rPr>
        <w:t xml:space="preserve"> </w:t>
      </w:r>
      <w:r>
        <w:rPr>
          <w:sz w:val="22"/>
          <w:szCs w:val="22"/>
        </w:rPr>
        <w:t>[1-3]. Features such as long-sequence, short-sequence, bit level, symbol level, sparse, non-sparse, coding, spreading, and interleaving have been discussed. To achieve the consensus, an email discussion thread was created for collecting opinions and perspe</w:t>
      </w:r>
      <w:r>
        <w:rPr>
          <w:sz w:val="22"/>
          <w:szCs w:val="22"/>
        </w:rPr>
        <w:t>ctives from companies [4]. However, the #86b final minutes only captured the basic block diagram for common features [5]. Apparently, there is not a universally accepted way of categorizing these NOMA schemes yet. In our opinion, at least for the current d</w:t>
      </w:r>
      <w:r>
        <w:rPr>
          <w:sz w:val="22"/>
          <w:szCs w:val="22"/>
        </w:rPr>
        <w:t>iscussion stage, there is no need to achieve a consensus on a specific categorization of NOMA features for the down-selection purpose. Further actions can be taken after the LLS results come out. However, it’s helpful for understanding the correlation amon</w:t>
      </w:r>
      <w:r>
        <w:rPr>
          <w:sz w:val="22"/>
          <w:szCs w:val="22"/>
        </w:rPr>
        <w:t>g these features by a proper categorization.</w:t>
      </w:r>
    </w:p>
    <w:p w:rsidR="00A346A4" w:rsidRDefault="00017813">
      <w:pPr>
        <w:spacing w:after="200" w:line="276" w:lineRule="auto"/>
        <w:rPr>
          <w:sz w:val="22"/>
          <w:szCs w:val="22"/>
        </w:rPr>
      </w:pPr>
      <w:r>
        <w:rPr>
          <w:sz w:val="22"/>
          <w:szCs w:val="22"/>
        </w:rPr>
        <w:t>According to our perspective, all NOMA features are based on spreading signals onto a larger and shared resource grid in bit and symbol level, and in frequency, time, and code domain.</w:t>
      </w:r>
      <w:r>
        <w:rPr>
          <w:color w:val="4A86E8"/>
          <w:sz w:val="22"/>
          <w:szCs w:val="22"/>
        </w:rPr>
        <w:t xml:space="preserve"> </w:t>
      </w:r>
      <w:r>
        <w:rPr>
          <w:sz w:val="22"/>
          <w:szCs w:val="22"/>
        </w:rPr>
        <w:t>Bit and symbol level signal</w:t>
      </w:r>
      <w:r>
        <w:rPr>
          <w:sz w:val="22"/>
          <w:szCs w:val="22"/>
        </w:rPr>
        <w:t xml:space="preserve"> processing such as spreading, repetition, scrambling, sparse resource mapping, and FEC coding are often used in NOMA, which spread multiple replicas of the original signals on physical resources. In this document, we provide our categorization as shown in</w:t>
      </w:r>
      <w:r>
        <w:rPr>
          <w:sz w:val="22"/>
          <w:szCs w:val="22"/>
        </w:rPr>
        <w:t xml:space="preserve"> Figure 1. According to the status of the signal while the signal processing takes place, we generally classify all previously discussed NOMA features into two categories, namely bit and symbol based processing. Of course, some features may include both pr</w:t>
      </w:r>
      <w:r>
        <w:rPr>
          <w:sz w:val="22"/>
          <w:szCs w:val="22"/>
        </w:rPr>
        <w:t>ocessing methods. Nevertheless, we made our classification based on the key feature that decides and forms the distinct signatures from the descriptions in the original tdocs.</w:t>
      </w:r>
    </w:p>
    <w:p w:rsidR="00A346A4" w:rsidRDefault="00A346A4">
      <w:pPr>
        <w:spacing w:after="200" w:line="276" w:lineRule="auto"/>
        <w:jc w:val="both"/>
        <w:rPr>
          <w:sz w:val="22"/>
          <w:szCs w:val="22"/>
        </w:rPr>
      </w:pPr>
    </w:p>
    <w:p w:rsidR="00A346A4" w:rsidRDefault="00017813">
      <w:pPr>
        <w:spacing w:after="200" w:line="276" w:lineRule="auto"/>
        <w:jc w:val="center"/>
        <w:rPr>
          <w:color w:val="4A86E8"/>
          <w:sz w:val="22"/>
          <w:szCs w:val="22"/>
        </w:rPr>
      </w:pPr>
      <w:r>
        <w:rPr>
          <w:noProof/>
          <w:color w:val="4A86E8"/>
          <w:sz w:val="22"/>
          <w:szCs w:val="22"/>
        </w:rPr>
        <w:drawing>
          <wp:inline distT="114300" distB="114300" distL="114300" distR="114300">
            <wp:extent cx="5953760" cy="18542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5953760" cy="1854200"/>
                    </a:xfrm>
                    <a:prstGeom prst="rect">
                      <a:avLst/>
                    </a:prstGeom>
                    <a:ln/>
                  </pic:spPr>
                </pic:pic>
              </a:graphicData>
            </a:graphic>
          </wp:inline>
        </w:drawing>
      </w:r>
    </w:p>
    <w:p w:rsidR="00A346A4" w:rsidRDefault="00017813">
      <w:pPr>
        <w:spacing w:after="200" w:line="276" w:lineRule="auto"/>
        <w:jc w:val="center"/>
        <w:rPr>
          <w:sz w:val="22"/>
          <w:szCs w:val="22"/>
        </w:rPr>
      </w:pPr>
      <w:r>
        <w:rPr>
          <w:sz w:val="22"/>
          <w:szCs w:val="22"/>
        </w:rPr>
        <w:t>Figure 1.  NOMA feature categorization</w:t>
      </w:r>
    </w:p>
    <w:p w:rsidR="00A346A4" w:rsidRDefault="00A346A4">
      <w:pPr>
        <w:spacing w:after="200" w:line="276" w:lineRule="auto"/>
        <w:rPr>
          <w:color w:val="4A86E8"/>
          <w:sz w:val="22"/>
          <w:szCs w:val="22"/>
        </w:rPr>
      </w:pPr>
    </w:p>
    <w:p w:rsidR="00A346A4" w:rsidRDefault="00017813">
      <w:pPr>
        <w:spacing w:after="200" w:line="276" w:lineRule="auto"/>
        <w:rPr>
          <w:color w:val="4A86E8"/>
          <w:sz w:val="22"/>
          <w:szCs w:val="22"/>
        </w:rPr>
      </w:pPr>
      <w:r>
        <w:rPr>
          <w:sz w:val="22"/>
          <w:szCs w:val="22"/>
        </w:rPr>
        <w:t>The first category is symbol based processing, this category can be further separated to two branches Low Density Signature (LDS) and full-length processing. LDS technique is originated from synchronous Code Division Multiple Access (CDMA) to against near-</w:t>
      </w:r>
      <w:r>
        <w:rPr>
          <w:sz w:val="22"/>
          <w:szCs w:val="22"/>
        </w:rPr>
        <w:t>far effect. PDMA is the one feature that only applying LDS in this discussion by sparse Resource Element (RE) mapping. Other features in this branch that based on LDS but further apply other methods are SCMA, IGMA, and LDS-SVE, where constellation codebook</w:t>
      </w:r>
      <w:r>
        <w:rPr>
          <w:sz w:val="22"/>
          <w:szCs w:val="22"/>
        </w:rPr>
        <w:t>, bit level interleaving, and symbol level signal transform matrix are applied to form distinct signatures, respectively. Other than exploiting the sparse type of RE mapping, another branch utilizes the full length of RE. NCMA and NCOA apply symbol based s</w:t>
      </w:r>
      <w:r>
        <w:rPr>
          <w:sz w:val="22"/>
          <w:szCs w:val="22"/>
        </w:rPr>
        <w:t xml:space="preserve">preading sequence directly. The difference between them is the spreading sequence they applied, one uses the codebook derived by minimizing the chordal distance and another uses the sequence used to generate LTE reference signal. RSMA, RDMA, </w:t>
      </w:r>
      <w:r>
        <w:rPr>
          <w:sz w:val="22"/>
          <w:szCs w:val="22"/>
        </w:rPr>
        <w:lastRenderedPageBreak/>
        <w:t>and GOCA first</w:t>
      </w:r>
      <w:r>
        <w:rPr>
          <w:sz w:val="22"/>
          <w:szCs w:val="22"/>
        </w:rPr>
        <w:t xml:space="preserve"> generate repeated symbol blocks to occupy the full resource grid and then followed by a scrambling mask or structure alternation as its unique signature.</w:t>
      </w:r>
    </w:p>
    <w:p w:rsidR="00A346A4" w:rsidRDefault="00017813">
      <w:pPr>
        <w:spacing w:after="200" w:line="276" w:lineRule="auto"/>
        <w:rPr>
          <w:color w:val="4A86E8"/>
          <w:sz w:val="22"/>
          <w:szCs w:val="22"/>
        </w:rPr>
      </w:pPr>
      <w:r>
        <w:rPr>
          <w:sz w:val="22"/>
          <w:szCs w:val="22"/>
        </w:rPr>
        <w:t>The second category is bit based processing. Similar to symbol level processing, methods such as spre</w:t>
      </w:r>
      <w:r>
        <w:rPr>
          <w:sz w:val="22"/>
          <w:szCs w:val="22"/>
        </w:rPr>
        <w:t>ading, interleaving, and repetition can also be applied to the bit level.</w:t>
      </w:r>
      <w:r>
        <w:rPr>
          <w:color w:val="674EA7"/>
          <w:sz w:val="22"/>
          <w:szCs w:val="22"/>
        </w:rPr>
        <w:t xml:space="preserve"> </w:t>
      </w:r>
      <w:r>
        <w:rPr>
          <w:sz w:val="22"/>
          <w:szCs w:val="22"/>
        </w:rPr>
        <w:t>Two branches are identified here. A major branch in this category is started with LCRS, which applies the existing processing block, FEC, but go with much lower coding rate as its si</w:t>
      </w:r>
      <w:r>
        <w:rPr>
          <w:sz w:val="22"/>
          <w:szCs w:val="22"/>
        </w:rPr>
        <w:t>gnature. LSSA and IDMA are also identified to this branch, setting LCRS as the keynote, and further applying bit level spreading and symbol level repetition code, respectively. Lastly, MUSA is the one that proposed to use bit spreading sequence as NOMA sig</w:t>
      </w:r>
      <w:r>
        <w:rPr>
          <w:sz w:val="22"/>
          <w:szCs w:val="22"/>
        </w:rPr>
        <w:t>nature. To be noted, because LSSA also applies bit spreading, we can also put LSSA after MUSA.</w:t>
      </w:r>
      <w:r>
        <w:rPr>
          <w:color w:val="674EA7"/>
          <w:sz w:val="22"/>
          <w:szCs w:val="22"/>
        </w:rPr>
        <w:t xml:space="preserve"> </w:t>
      </w:r>
    </w:p>
    <w:p w:rsidR="00A346A4" w:rsidRDefault="00017813">
      <w:pPr>
        <w:spacing w:after="200" w:line="276" w:lineRule="auto"/>
        <w:rPr>
          <w:color w:val="4A86E8"/>
          <w:sz w:val="22"/>
          <w:szCs w:val="22"/>
        </w:rPr>
      </w:pPr>
      <w:r>
        <w:rPr>
          <w:sz w:val="22"/>
          <w:szCs w:val="22"/>
        </w:rPr>
        <w:t>To be noted, although we categorized these features into bit and symbol level processing, the difference between them is actually small. Most of the symbol proc</w:t>
      </w:r>
      <w:r>
        <w:rPr>
          <w:sz w:val="22"/>
          <w:szCs w:val="22"/>
        </w:rPr>
        <w:t>essing can be achieved in bit level, and probably also need to use low-rate FEC to achieve the design goal. At least from the transmitter design or implementation complexity, the borderline among these features is hard to define.</w:t>
      </w:r>
    </w:p>
    <w:p w:rsidR="00A346A4" w:rsidRDefault="00A346A4">
      <w:pPr>
        <w:spacing w:after="120" w:line="276" w:lineRule="auto"/>
        <w:jc w:val="both"/>
        <w:rPr>
          <w:b/>
          <w:sz w:val="22"/>
          <w:szCs w:val="22"/>
        </w:rPr>
      </w:pPr>
    </w:p>
    <w:p w:rsidR="00A346A4" w:rsidRDefault="00017813">
      <w:pPr>
        <w:spacing w:after="120" w:line="276" w:lineRule="auto"/>
        <w:jc w:val="both"/>
        <w:rPr>
          <w:sz w:val="22"/>
          <w:szCs w:val="22"/>
        </w:rPr>
      </w:pPr>
      <w:r>
        <w:rPr>
          <w:b/>
          <w:sz w:val="22"/>
          <w:szCs w:val="22"/>
        </w:rPr>
        <w:t>2.2 On considering featur</w:t>
      </w:r>
      <w:r>
        <w:rPr>
          <w:b/>
          <w:sz w:val="22"/>
          <w:szCs w:val="22"/>
        </w:rPr>
        <w:t xml:space="preserve">e selection </w:t>
      </w:r>
    </w:p>
    <w:p w:rsidR="00A346A4" w:rsidRDefault="00017813">
      <w:pPr>
        <w:spacing w:after="120" w:line="276" w:lineRule="auto"/>
        <w:rPr>
          <w:sz w:val="22"/>
          <w:szCs w:val="22"/>
        </w:rPr>
      </w:pPr>
      <w:r>
        <w:rPr>
          <w:sz w:val="22"/>
          <w:szCs w:val="22"/>
        </w:rPr>
        <w:t>In our opinion, the final SPEC probably might not be sealed with a specific NOMA feature, instead, it might be captured as a NOMA resource ID for initial sequence generation and codebook selection, namely a corresponding MCS. In this case, gNB</w:t>
      </w:r>
      <w:r>
        <w:rPr>
          <w:sz w:val="22"/>
          <w:szCs w:val="22"/>
        </w:rPr>
        <w:t xml:space="preserve"> should be able to configure UE to transmit signal by using a single or hybrid NOMA feature. Since MCS for NOMA may consist of multiple signal processing methods, the performance of each method should be verified first, then considering features with hybri</w:t>
      </w:r>
      <w:r>
        <w:rPr>
          <w:sz w:val="22"/>
          <w:szCs w:val="22"/>
        </w:rPr>
        <w:t xml:space="preserve">d signatures. </w:t>
      </w:r>
    </w:p>
    <w:p w:rsidR="00A346A4" w:rsidRDefault="00017813">
      <w:pPr>
        <w:spacing w:after="120" w:line="276" w:lineRule="auto"/>
        <w:rPr>
          <w:sz w:val="22"/>
          <w:szCs w:val="22"/>
        </w:rPr>
      </w:pPr>
      <w:r>
        <w:rPr>
          <w:sz w:val="22"/>
          <w:szCs w:val="22"/>
          <w:u w:val="single"/>
        </w:rPr>
        <w:t>Proposal 1</w:t>
      </w:r>
      <w:r>
        <w:rPr>
          <w:sz w:val="22"/>
          <w:szCs w:val="22"/>
        </w:rPr>
        <w:t>: A flexible NOMA transmitter is desired to support mMTC, eMBB, and URLLC.</w:t>
      </w:r>
    </w:p>
    <w:p w:rsidR="00A346A4" w:rsidRDefault="00017813">
      <w:pPr>
        <w:spacing w:after="120" w:line="276" w:lineRule="auto"/>
        <w:rPr>
          <w:sz w:val="22"/>
          <w:szCs w:val="22"/>
        </w:rPr>
      </w:pPr>
      <w:r>
        <w:rPr>
          <w:sz w:val="22"/>
          <w:szCs w:val="22"/>
        </w:rPr>
        <w:t>According to the categorization figure we provided, four major signal spreading methods are identified as LDS, full-length symbol spreading, LCRS, and bit s</w:t>
      </w:r>
      <w:r>
        <w:rPr>
          <w:sz w:val="22"/>
          <w:szCs w:val="22"/>
        </w:rPr>
        <w:t>preading. Our first suggestion is to compare features with a single signature within the same category. For example, PDMA, LCRS, and MUSA are the only one feature with a single signature in the LDS, LCRS, and bit spreading category. So, the comparison by u</w:t>
      </w:r>
      <w:r>
        <w:rPr>
          <w:sz w:val="22"/>
          <w:szCs w:val="22"/>
        </w:rPr>
        <w:t xml:space="preserve">sing different codebook set, coding scheme, and spreading sequence should be investigated. The second category, full-length symbol spreading, is more complicated that several features are provided by companies. However, each feature can be considered as a </w:t>
      </w:r>
      <w:r>
        <w:rPr>
          <w:sz w:val="22"/>
          <w:szCs w:val="22"/>
        </w:rPr>
        <w:t xml:space="preserve">symbol spreading method. Therefore, RSMA, GOCA, NCMA, and NCOA should be compared first. To be noted that LDS-SVE feature also includes symbol based spreading method, SVE. The SVE transform method may compare with other features within the second category </w:t>
      </w:r>
      <w:r>
        <w:rPr>
          <w:sz w:val="22"/>
          <w:szCs w:val="22"/>
        </w:rPr>
        <w:t xml:space="preserve">solely without LDS. </w:t>
      </w:r>
    </w:p>
    <w:p w:rsidR="00A346A4" w:rsidRDefault="00017813">
      <w:pPr>
        <w:spacing w:after="120" w:line="276" w:lineRule="auto"/>
        <w:rPr>
          <w:sz w:val="22"/>
          <w:szCs w:val="22"/>
        </w:rPr>
      </w:pPr>
      <w:r>
        <w:rPr>
          <w:sz w:val="22"/>
          <w:szCs w:val="22"/>
          <w:u w:val="single"/>
        </w:rPr>
        <w:t>Proposal 2</w:t>
      </w:r>
      <w:r>
        <w:rPr>
          <w:sz w:val="22"/>
          <w:szCs w:val="22"/>
        </w:rPr>
        <w:t>: Evaluate and compare NOMA features with single spreading ingredient first.</w:t>
      </w:r>
    </w:p>
    <w:p w:rsidR="00A346A4" w:rsidRDefault="00017813">
      <w:pPr>
        <w:spacing w:after="120" w:line="276" w:lineRule="auto"/>
        <w:ind w:firstLine="720"/>
        <w:rPr>
          <w:sz w:val="22"/>
          <w:szCs w:val="22"/>
        </w:rPr>
      </w:pPr>
      <w:r>
        <w:rPr>
          <w:sz w:val="22"/>
          <w:szCs w:val="22"/>
        </w:rPr>
        <w:t>LDS: PDMA</w:t>
      </w:r>
    </w:p>
    <w:p w:rsidR="00A346A4" w:rsidRDefault="00017813">
      <w:pPr>
        <w:spacing w:after="120" w:line="276" w:lineRule="auto"/>
        <w:ind w:firstLine="720"/>
        <w:rPr>
          <w:sz w:val="22"/>
          <w:szCs w:val="22"/>
        </w:rPr>
      </w:pPr>
      <w:r>
        <w:rPr>
          <w:sz w:val="22"/>
          <w:szCs w:val="22"/>
        </w:rPr>
        <w:t>Full-length symbol spreading: RSMA, GOCA, NCMA, NCOA, (LDS-SVE without LDS)</w:t>
      </w:r>
    </w:p>
    <w:p w:rsidR="00A346A4" w:rsidRDefault="00017813">
      <w:pPr>
        <w:spacing w:after="120" w:line="276" w:lineRule="auto"/>
        <w:ind w:firstLine="720"/>
        <w:rPr>
          <w:sz w:val="22"/>
          <w:szCs w:val="22"/>
        </w:rPr>
      </w:pPr>
      <w:r>
        <w:rPr>
          <w:sz w:val="22"/>
          <w:szCs w:val="22"/>
        </w:rPr>
        <w:t>LCRS: LCRS</w:t>
      </w:r>
    </w:p>
    <w:p w:rsidR="00A346A4" w:rsidRDefault="00017813">
      <w:pPr>
        <w:spacing w:after="120" w:line="276" w:lineRule="auto"/>
        <w:ind w:firstLine="720"/>
        <w:rPr>
          <w:sz w:val="22"/>
          <w:szCs w:val="22"/>
        </w:rPr>
      </w:pPr>
      <w:r>
        <w:rPr>
          <w:sz w:val="22"/>
          <w:szCs w:val="22"/>
        </w:rPr>
        <w:t>Bit spreading: MUSA</w:t>
      </w:r>
    </w:p>
    <w:p w:rsidR="00A346A4" w:rsidRDefault="00A346A4">
      <w:pPr>
        <w:spacing w:after="120" w:line="276" w:lineRule="auto"/>
        <w:rPr>
          <w:sz w:val="22"/>
          <w:szCs w:val="22"/>
        </w:rPr>
      </w:pPr>
    </w:p>
    <w:p w:rsidR="00A346A4" w:rsidRDefault="00017813">
      <w:pPr>
        <w:spacing w:after="120" w:line="276" w:lineRule="auto"/>
        <w:rPr>
          <w:b/>
          <w:sz w:val="22"/>
          <w:szCs w:val="22"/>
        </w:rPr>
      </w:pPr>
      <w:r>
        <w:rPr>
          <w:b/>
          <w:sz w:val="22"/>
          <w:szCs w:val="22"/>
        </w:rPr>
        <w:t>2.3 On considering PAPR</w:t>
      </w:r>
    </w:p>
    <w:p w:rsidR="00A346A4" w:rsidRDefault="00017813">
      <w:pPr>
        <w:spacing w:after="120" w:line="276" w:lineRule="auto"/>
        <w:rPr>
          <w:sz w:val="22"/>
          <w:szCs w:val="22"/>
        </w:rPr>
      </w:pPr>
      <w:r>
        <w:rPr>
          <w:sz w:val="22"/>
          <w:szCs w:val="22"/>
        </w:rPr>
        <w:t>PAPR i</w:t>
      </w:r>
      <w:r>
        <w:rPr>
          <w:sz w:val="22"/>
          <w:szCs w:val="22"/>
        </w:rPr>
        <w:t>s a major issue in LTE while using OFDM as a generic modulation waveform. Therefore, SC-FDMA (DFT-s-OFDM) was then introduced as a solution. In meeting #92 NOMA SI, PAPR/cubic metric has been agreed as an implementation metric, and both CP-OFDM and DFT-s-O</w:t>
      </w:r>
      <w:r>
        <w:rPr>
          <w:sz w:val="22"/>
          <w:szCs w:val="22"/>
        </w:rPr>
        <w:t>FDM waveform have been agreed for mMTC LLS, and CP-OFDM for URLLC and eMBB as a start point.</w:t>
      </w:r>
    </w:p>
    <w:p w:rsidR="00A346A4" w:rsidRDefault="00017813">
      <w:pPr>
        <w:spacing w:after="120" w:line="276" w:lineRule="auto"/>
        <w:rPr>
          <w:sz w:val="22"/>
          <w:szCs w:val="22"/>
        </w:rPr>
      </w:pPr>
      <w:r>
        <w:rPr>
          <w:sz w:val="22"/>
          <w:szCs w:val="22"/>
          <w:highlight w:val="green"/>
        </w:rPr>
        <w:lastRenderedPageBreak/>
        <w:t>Agreements</w:t>
      </w:r>
      <w:r>
        <w:rPr>
          <w:sz w:val="22"/>
          <w:szCs w:val="22"/>
        </w:rPr>
        <w:t>:</w:t>
      </w:r>
    </w:p>
    <w:p w:rsidR="00A346A4" w:rsidRDefault="00017813">
      <w:pPr>
        <w:numPr>
          <w:ilvl w:val="0"/>
          <w:numId w:val="4"/>
        </w:numPr>
        <w:spacing w:after="120" w:line="276" w:lineRule="auto"/>
        <w:contextualSpacing/>
      </w:pPr>
      <w:r>
        <w:t>Adopt the parameters in the following table for link-level evaluations of NOMA study</w:t>
      </w:r>
    </w:p>
    <w:tbl>
      <w:tblPr>
        <w:tblStyle w:val="a6"/>
        <w:tblW w:w="937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770"/>
        <w:gridCol w:w="2085"/>
        <w:gridCol w:w="2171"/>
        <w:gridCol w:w="2345"/>
      </w:tblGrid>
      <w:tr w:rsidR="00A346A4">
        <w:trPr>
          <w:trHeight w:val="500"/>
        </w:trPr>
        <w:tc>
          <w:tcPr>
            <w:tcW w:w="2769" w:type="dxa"/>
            <w:tcBorders>
              <w:top w:val="single" w:sz="8" w:space="0" w:color="000000"/>
              <w:left w:val="single" w:sz="8" w:space="0" w:color="000000"/>
              <w:bottom w:val="single" w:sz="8" w:space="0" w:color="000000"/>
              <w:right w:val="single" w:sz="8" w:space="0" w:color="000000"/>
            </w:tcBorders>
            <w:shd w:val="clear" w:color="auto" w:fill="D9D9D9"/>
            <w:tcMar>
              <w:top w:w="20" w:type="dxa"/>
              <w:left w:w="100" w:type="dxa"/>
              <w:bottom w:w="100" w:type="dxa"/>
              <w:right w:w="100" w:type="dxa"/>
            </w:tcMar>
          </w:tcPr>
          <w:p w:rsidR="00A346A4" w:rsidRDefault="00017813">
            <w:pPr>
              <w:spacing w:after="120" w:line="276" w:lineRule="auto"/>
              <w:rPr>
                <w:b/>
                <w:sz w:val="22"/>
                <w:szCs w:val="22"/>
              </w:rPr>
            </w:pPr>
            <w:r>
              <w:rPr>
                <w:b/>
                <w:sz w:val="22"/>
                <w:szCs w:val="22"/>
              </w:rPr>
              <w:t>Parameters</w:t>
            </w:r>
          </w:p>
        </w:tc>
        <w:tc>
          <w:tcPr>
            <w:tcW w:w="208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A346A4" w:rsidRDefault="00017813">
            <w:pPr>
              <w:spacing w:after="120" w:line="276" w:lineRule="auto"/>
              <w:rPr>
                <w:b/>
                <w:sz w:val="22"/>
                <w:szCs w:val="22"/>
              </w:rPr>
            </w:pPr>
            <w:r>
              <w:rPr>
                <w:b/>
                <w:sz w:val="22"/>
                <w:szCs w:val="22"/>
              </w:rPr>
              <w:t>mMTC</w:t>
            </w:r>
          </w:p>
        </w:tc>
        <w:tc>
          <w:tcPr>
            <w:tcW w:w="2171"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A346A4" w:rsidRDefault="00017813">
            <w:pPr>
              <w:spacing w:after="120" w:line="276" w:lineRule="auto"/>
              <w:rPr>
                <w:b/>
                <w:sz w:val="22"/>
                <w:szCs w:val="22"/>
              </w:rPr>
            </w:pPr>
            <w:r>
              <w:rPr>
                <w:b/>
                <w:sz w:val="22"/>
                <w:szCs w:val="22"/>
              </w:rPr>
              <w:t>URLLC</w:t>
            </w:r>
          </w:p>
        </w:tc>
        <w:tc>
          <w:tcPr>
            <w:tcW w:w="234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A346A4" w:rsidRDefault="00017813">
            <w:pPr>
              <w:spacing w:after="120" w:line="276" w:lineRule="auto"/>
              <w:rPr>
                <w:b/>
                <w:sz w:val="22"/>
                <w:szCs w:val="22"/>
              </w:rPr>
            </w:pPr>
            <w:r>
              <w:rPr>
                <w:b/>
                <w:sz w:val="22"/>
                <w:szCs w:val="22"/>
              </w:rPr>
              <w:t>eMBB</w:t>
            </w:r>
          </w:p>
        </w:tc>
      </w:tr>
      <w:tr w:rsidR="00A346A4">
        <w:trPr>
          <w:trHeight w:val="680"/>
        </w:trPr>
        <w:tc>
          <w:tcPr>
            <w:tcW w:w="2769" w:type="dxa"/>
            <w:tcBorders>
              <w:top w:val="nil"/>
              <w:left w:val="single" w:sz="8" w:space="0" w:color="000000"/>
              <w:bottom w:val="single" w:sz="8" w:space="0" w:color="000000"/>
              <w:right w:val="single" w:sz="8" w:space="0" w:color="000000"/>
            </w:tcBorders>
            <w:tcMar>
              <w:top w:w="20" w:type="dxa"/>
              <w:left w:w="100" w:type="dxa"/>
              <w:bottom w:w="100" w:type="dxa"/>
              <w:right w:w="100" w:type="dxa"/>
            </w:tcMar>
          </w:tcPr>
          <w:p w:rsidR="00A346A4" w:rsidRDefault="00017813">
            <w:pPr>
              <w:spacing w:after="120" w:line="276" w:lineRule="auto"/>
            </w:pPr>
            <w:r>
              <w:t>Carrier Frequency</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A346A4" w:rsidRDefault="00017813">
            <w:pPr>
              <w:spacing w:after="120" w:line="276" w:lineRule="auto"/>
            </w:pPr>
            <w:r>
              <w:t>700 MHz</w:t>
            </w:r>
          </w:p>
        </w:tc>
        <w:tc>
          <w:tcPr>
            <w:tcW w:w="2171" w:type="dxa"/>
            <w:tcBorders>
              <w:top w:val="nil"/>
              <w:left w:val="nil"/>
              <w:bottom w:val="single" w:sz="8" w:space="0" w:color="000000"/>
              <w:right w:val="single" w:sz="8" w:space="0" w:color="000000"/>
            </w:tcBorders>
            <w:tcMar>
              <w:top w:w="100" w:type="dxa"/>
              <w:left w:w="100" w:type="dxa"/>
              <w:bottom w:w="100" w:type="dxa"/>
              <w:right w:w="100" w:type="dxa"/>
            </w:tcMar>
          </w:tcPr>
          <w:p w:rsidR="00A346A4" w:rsidRDefault="00017813">
            <w:pPr>
              <w:spacing w:after="120" w:line="276" w:lineRule="auto"/>
            </w:pPr>
            <w:r>
              <w:t>700 MHz or 4 GHz</w:t>
            </w:r>
          </w:p>
        </w:tc>
        <w:tc>
          <w:tcPr>
            <w:tcW w:w="2344" w:type="dxa"/>
            <w:tcBorders>
              <w:top w:val="nil"/>
              <w:left w:val="nil"/>
              <w:bottom w:val="single" w:sz="8" w:space="0" w:color="000000"/>
              <w:right w:val="single" w:sz="8" w:space="0" w:color="000000"/>
            </w:tcBorders>
            <w:tcMar>
              <w:top w:w="100" w:type="dxa"/>
              <w:left w:w="100" w:type="dxa"/>
              <w:bottom w:w="100" w:type="dxa"/>
              <w:right w:w="100" w:type="dxa"/>
            </w:tcMar>
          </w:tcPr>
          <w:p w:rsidR="00A346A4" w:rsidRDefault="00017813">
            <w:pPr>
              <w:spacing w:after="120" w:line="276" w:lineRule="auto"/>
            </w:pPr>
            <w:r>
              <w:t>4 GHz, 700 MHz as optional</w:t>
            </w:r>
          </w:p>
        </w:tc>
      </w:tr>
      <w:tr w:rsidR="00A346A4">
        <w:trPr>
          <w:trHeight w:val="940"/>
        </w:trPr>
        <w:tc>
          <w:tcPr>
            <w:tcW w:w="2769" w:type="dxa"/>
            <w:tcBorders>
              <w:top w:val="nil"/>
              <w:left w:val="single" w:sz="8" w:space="0" w:color="000000"/>
              <w:bottom w:val="single" w:sz="8" w:space="0" w:color="000000"/>
              <w:right w:val="single" w:sz="8" w:space="0" w:color="000000"/>
            </w:tcBorders>
            <w:tcMar>
              <w:top w:w="20" w:type="dxa"/>
              <w:left w:w="100" w:type="dxa"/>
              <w:bottom w:w="100" w:type="dxa"/>
              <w:right w:w="100" w:type="dxa"/>
            </w:tcMar>
          </w:tcPr>
          <w:p w:rsidR="00A346A4" w:rsidRDefault="00017813">
            <w:pPr>
              <w:spacing w:after="120" w:line="276" w:lineRule="auto"/>
            </w:pPr>
            <w:r>
              <w:t>Waveform</w:t>
            </w:r>
          </w:p>
          <w:p w:rsidR="00A346A4" w:rsidRDefault="00017813">
            <w:pPr>
              <w:spacing w:after="120" w:line="276" w:lineRule="auto"/>
            </w:pPr>
            <w:r>
              <w:t>(data part)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A346A4" w:rsidRDefault="00017813">
            <w:pPr>
              <w:spacing w:after="120" w:line="276" w:lineRule="auto"/>
            </w:pPr>
            <w:r>
              <w:t>CP-OFDM and DFT-s-OFDM</w:t>
            </w:r>
          </w:p>
        </w:tc>
        <w:tc>
          <w:tcPr>
            <w:tcW w:w="2171" w:type="dxa"/>
            <w:tcBorders>
              <w:top w:val="nil"/>
              <w:left w:val="nil"/>
              <w:bottom w:val="single" w:sz="8" w:space="0" w:color="000000"/>
              <w:right w:val="single" w:sz="8" w:space="0" w:color="000000"/>
            </w:tcBorders>
            <w:tcMar>
              <w:top w:w="100" w:type="dxa"/>
              <w:left w:w="100" w:type="dxa"/>
              <w:bottom w:w="100" w:type="dxa"/>
              <w:right w:w="100" w:type="dxa"/>
            </w:tcMar>
          </w:tcPr>
          <w:p w:rsidR="00A346A4" w:rsidRDefault="00017813">
            <w:pPr>
              <w:spacing w:after="120" w:line="276" w:lineRule="auto"/>
            </w:pPr>
            <w:r>
              <w:t>CP-OFDM as starting point</w:t>
            </w:r>
          </w:p>
        </w:tc>
        <w:tc>
          <w:tcPr>
            <w:tcW w:w="2344" w:type="dxa"/>
            <w:tcBorders>
              <w:top w:val="nil"/>
              <w:left w:val="nil"/>
              <w:bottom w:val="single" w:sz="8" w:space="0" w:color="000000"/>
              <w:right w:val="single" w:sz="8" w:space="0" w:color="000000"/>
            </w:tcBorders>
            <w:tcMar>
              <w:top w:w="100" w:type="dxa"/>
              <w:left w:w="100" w:type="dxa"/>
              <w:bottom w:w="100" w:type="dxa"/>
              <w:right w:w="100" w:type="dxa"/>
            </w:tcMar>
          </w:tcPr>
          <w:p w:rsidR="00A346A4" w:rsidRDefault="00017813">
            <w:pPr>
              <w:spacing w:after="120" w:line="276" w:lineRule="auto"/>
            </w:pPr>
            <w:r>
              <w:t>CP-OFDM as starting point</w:t>
            </w:r>
          </w:p>
        </w:tc>
      </w:tr>
    </w:tbl>
    <w:p w:rsidR="00A346A4" w:rsidRDefault="00A346A4">
      <w:pPr>
        <w:spacing w:after="120" w:line="276" w:lineRule="auto"/>
        <w:rPr>
          <w:sz w:val="22"/>
          <w:szCs w:val="22"/>
        </w:rPr>
      </w:pPr>
    </w:p>
    <w:p w:rsidR="00A346A4" w:rsidRDefault="00017813">
      <w:pPr>
        <w:spacing w:after="120" w:line="276" w:lineRule="auto"/>
        <w:rPr>
          <w:sz w:val="22"/>
          <w:szCs w:val="22"/>
        </w:rPr>
      </w:pPr>
      <w:r>
        <w:rPr>
          <w:sz w:val="22"/>
          <w:szCs w:val="22"/>
        </w:rPr>
        <w:t>The concern of PAPR in DFT-s-OFDM regard to NOMA features is the resource mapping pattern.  According to the current LTE standards, the transmitter can use localized  resource mapping to prevent high PAPR. However, as shown in Figure 1, one category of NOM</w:t>
      </w:r>
      <w:r>
        <w:rPr>
          <w:sz w:val="22"/>
          <w:szCs w:val="22"/>
        </w:rPr>
        <w:t>A features, LDS based, uses sparse resource mapping as a signature, which may lead to high PAPR.</w:t>
      </w:r>
    </w:p>
    <w:p w:rsidR="00A346A4" w:rsidRDefault="00017813">
      <w:pPr>
        <w:spacing w:after="120" w:line="276" w:lineRule="auto"/>
        <w:rPr>
          <w:sz w:val="22"/>
          <w:szCs w:val="22"/>
        </w:rPr>
      </w:pPr>
      <w:r>
        <w:rPr>
          <w:sz w:val="22"/>
          <w:szCs w:val="22"/>
          <w:u w:val="single"/>
        </w:rPr>
        <w:t>Proposal 3</w:t>
      </w:r>
      <w:r>
        <w:rPr>
          <w:sz w:val="22"/>
          <w:szCs w:val="22"/>
        </w:rPr>
        <w:t>: The PAPR of LDS based features needs for further investigation.</w:t>
      </w:r>
    </w:p>
    <w:p w:rsidR="00A346A4" w:rsidRDefault="00A346A4">
      <w:pPr>
        <w:spacing w:after="120" w:line="276" w:lineRule="auto"/>
        <w:rPr>
          <w:color w:val="FF0000"/>
          <w:sz w:val="22"/>
          <w:szCs w:val="22"/>
        </w:rPr>
      </w:pPr>
    </w:p>
    <w:p w:rsidR="00A346A4" w:rsidRDefault="00017813">
      <w:pPr>
        <w:spacing w:after="120" w:line="276" w:lineRule="auto"/>
        <w:jc w:val="both"/>
        <w:rPr>
          <w:sz w:val="22"/>
          <w:szCs w:val="22"/>
          <w:u w:val="single"/>
        </w:rPr>
      </w:pPr>
      <w:r>
        <w:rPr>
          <w:b/>
          <w:sz w:val="22"/>
          <w:szCs w:val="22"/>
        </w:rPr>
        <w:t xml:space="preserve">2.4 On multiple NOMA features coexistence and combination </w:t>
      </w:r>
    </w:p>
    <w:p w:rsidR="00A346A4" w:rsidRDefault="00017813">
      <w:pPr>
        <w:spacing w:after="120" w:line="276" w:lineRule="auto"/>
        <w:rPr>
          <w:sz w:val="22"/>
          <w:szCs w:val="22"/>
        </w:rPr>
      </w:pPr>
      <w:r>
        <w:rPr>
          <w:sz w:val="22"/>
          <w:szCs w:val="22"/>
        </w:rPr>
        <w:t>In the previous discuss</w:t>
      </w:r>
      <w:r>
        <w:rPr>
          <w:sz w:val="22"/>
          <w:szCs w:val="22"/>
        </w:rPr>
        <w:t xml:space="preserve">ion, we already provided our view on the sequence of NOMA features comparison and the implementation metrics to be noticed. In the next stage, while LLS comparison comes out, some features might be preliminary precluded due to metrics achievability. There </w:t>
      </w:r>
      <w:r>
        <w:rPr>
          <w:sz w:val="22"/>
          <w:szCs w:val="22"/>
        </w:rPr>
        <w:t>might be probably 5 to 10 features remained for further discussion. A possible problem we might face is that these remaining features have different feasibility on different use scenario, for example,  mMTC needs lower PAPR design and larger signature reso</w:t>
      </w:r>
      <w:r>
        <w:rPr>
          <w:sz w:val="22"/>
          <w:szCs w:val="22"/>
        </w:rPr>
        <w:t>urce pool, eMBB needs to transmit larger transport block, and while the mean time URLLC requires low latency delay and low BLER. One solution to this dilemma is to use separated physical resources to guarantee the required performance, especially for URLLC</w:t>
      </w:r>
      <w:r>
        <w:rPr>
          <w:sz w:val="22"/>
          <w:szCs w:val="22"/>
        </w:rPr>
        <w:t>. In this case, NR should be able to support multiple NOMA features.</w:t>
      </w:r>
    </w:p>
    <w:p w:rsidR="00A346A4" w:rsidRDefault="00017813">
      <w:pPr>
        <w:spacing w:after="120" w:line="276" w:lineRule="auto"/>
        <w:rPr>
          <w:sz w:val="22"/>
          <w:szCs w:val="22"/>
        </w:rPr>
      </w:pPr>
      <w:r>
        <w:rPr>
          <w:sz w:val="22"/>
          <w:szCs w:val="22"/>
          <w:u w:val="single"/>
        </w:rPr>
        <w:t>Proposal 4:</w:t>
      </w:r>
      <w:r>
        <w:rPr>
          <w:sz w:val="22"/>
          <w:szCs w:val="22"/>
        </w:rPr>
        <w:t xml:space="preserve"> Consider multiple features to NOMA scheme regarding different use scenarios.</w:t>
      </w:r>
    </w:p>
    <w:p w:rsidR="00A346A4" w:rsidRDefault="00017813">
      <w:pPr>
        <w:spacing w:after="120" w:line="276" w:lineRule="auto"/>
        <w:rPr>
          <w:sz w:val="22"/>
          <w:szCs w:val="22"/>
        </w:rPr>
      </w:pPr>
      <w:r>
        <w:rPr>
          <w:sz w:val="22"/>
          <w:szCs w:val="22"/>
        </w:rPr>
        <w:t>The other case might happen when multiplexing takes place among scenarios. If two scenarios with d</w:t>
      </w:r>
      <w:r>
        <w:rPr>
          <w:sz w:val="22"/>
          <w:szCs w:val="22"/>
        </w:rPr>
        <w:t>ifferent feasible features are going to multiplex with each other, a feature for both scenarios should be determined, and then we encounter the dilemma again. Even if we determined a feature for current multiplexing settings, it limits the forward compatib</w:t>
      </w:r>
      <w:r>
        <w:rPr>
          <w:sz w:val="22"/>
          <w:szCs w:val="22"/>
        </w:rPr>
        <w:t>ility. A suggestion here is to study the mutual interference among NOMA features and try to combine them to become a hybrid feature. An additional advantage along with the combination is that the signature resource pool will be expanded accordingly.</w:t>
      </w:r>
    </w:p>
    <w:p w:rsidR="00A346A4" w:rsidRDefault="00017813">
      <w:pPr>
        <w:spacing w:after="120" w:line="276" w:lineRule="auto"/>
        <w:rPr>
          <w:color w:val="FF0000"/>
          <w:sz w:val="22"/>
          <w:szCs w:val="22"/>
        </w:rPr>
      </w:pPr>
      <w:r>
        <w:rPr>
          <w:sz w:val="22"/>
          <w:szCs w:val="22"/>
          <w:u w:val="single"/>
        </w:rPr>
        <w:t>Propos</w:t>
      </w:r>
      <w:r>
        <w:rPr>
          <w:sz w:val="22"/>
          <w:szCs w:val="22"/>
          <w:u w:val="single"/>
        </w:rPr>
        <w:t>al 5</w:t>
      </w:r>
      <w:r>
        <w:rPr>
          <w:sz w:val="22"/>
          <w:szCs w:val="22"/>
        </w:rPr>
        <w:t>: Companies should study the potential of combining multiple NOMA features under the consideration of the mutual interference within the signature resource pool.</w:t>
      </w:r>
      <w:r>
        <w:rPr>
          <w:sz w:val="22"/>
          <w:szCs w:val="22"/>
        </w:rPr>
        <w:br/>
      </w:r>
    </w:p>
    <w:p w:rsidR="00A346A4" w:rsidRDefault="00017813">
      <w:pPr>
        <w:numPr>
          <w:ilvl w:val="0"/>
          <w:numId w:val="3"/>
        </w:numPr>
        <w:spacing w:before="160" w:after="100" w:line="276" w:lineRule="auto"/>
        <w:jc w:val="both"/>
      </w:pPr>
      <w:r>
        <w:rPr>
          <w:rFonts w:eastAsia="Times New Roman"/>
          <w:b/>
          <w:sz w:val="28"/>
          <w:szCs w:val="28"/>
        </w:rPr>
        <w:t>Conclusions</w:t>
      </w:r>
    </w:p>
    <w:p w:rsidR="00A346A4" w:rsidRDefault="00A346A4">
      <w:pPr>
        <w:spacing w:line="276" w:lineRule="auto"/>
        <w:rPr>
          <w:sz w:val="22"/>
          <w:szCs w:val="22"/>
        </w:rPr>
      </w:pPr>
    </w:p>
    <w:p w:rsidR="00A346A4" w:rsidRDefault="00017813">
      <w:pPr>
        <w:spacing w:after="120" w:line="276" w:lineRule="auto"/>
        <w:rPr>
          <w:sz w:val="22"/>
          <w:szCs w:val="22"/>
        </w:rPr>
      </w:pPr>
      <w:r>
        <w:rPr>
          <w:sz w:val="22"/>
          <w:szCs w:val="22"/>
          <w:u w:val="single"/>
        </w:rPr>
        <w:t>Proposal 1</w:t>
      </w:r>
      <w:r>
        <w:rPr>
          <w:sz w:val="22"/>
          <w:szCs w:val="22"/>
        </w:rPr>
        <w:t>: A flexible NOMA transmitter is desired to support mMTC, eMBB, and URLLC.</w:t>
      </w:r>
    </w:p>
    <w:p w:rsidR="00A346A4" w:rsidRDefault="00017813">
      <w:pPr>
        <w:spacing w:after="120" w:line="276" w:lineRule="auto"/>
        <w:rPr>
          <w:sz w:val="22"/>
          <w:szCs w:val="22"/>
        </w:rPr>
      </w:pPr>
      <w:r>
        <w:rPr>
          <w:sz w:val="22"/>
          <w:szCs w:val="22"/>
          <w:u w:val="single"/>
        </w:rPr>
        <w:t>Proposal 2</w:t>
      </w:r>
      <w:r>
        <w:rPr>
          <w:sz w:val="22"/>
          <w:szCs w:val="22"/>
        </w:rPr>
        <w:t>: Evaluate and compare NOMA features with single spreading ingredient first.</w:t>
      </w:r>
    </w:p>
    <w:p w:rsidR="00A346A4" w:rsidRDefault="00017813">
      <w:pPr>
        <w:numPr>
          <w:ilvl w:val="0"/>
          <w:numId w:val="1"/>
        </w:numPr>
        <w:spacing w:after="120" w:line="276" w:lineRule="auto"/>
        <w:contextualSpacing/>
        <w:rPr>
          <w:sz w:val="22"/>
          <w:szCs w:val="22"/>
        </w:rPr>
      </w:pPr>
      <w:r>
        <w:rPr>
          <w:sz w:val="22"/>
          <w:szCs w:val="22"/>
        </w:rPr>
        <w:t>LDS: PDMA</w:t>
      </w:r>
    </w:p>
    <w:p w:rsidR="00A346A4" w:rsidRDefault="00017813">
      <w:pPr>
        <w:numPr>
          <w:ilvl w:val="0"/>
          <w:numId w:val="1"/>
        </w:numPr>
        <w:spacing w:after="120" w:line="276" w:lineRule="auto"/>
        <w:contextualSpacing/>
        <w:rPr>
          <w:sz w:val="22"/>
          <w:szCs w:val="22"/>
        </w:rPr>
      </w:pPr>
      <w:r>
        <w:rPr>
          <w:sz w:val="22"/>
          <w:szCs w:val="22"/>
        </w:rPr>
        <w:t>Full-length symbol spreading: RSMA, GOCA, NCMA, NCOA, (LDS-SVE without LDS)</w:t>
      </w:r>
    </w:p>
    <w:p w:rsidR="00A346A4" w:rsidRDefault="00017813">
      <w:pPr>
        <w:numPr>
          <w:ilvl w:val="0"/>
          <w:numId w:val="1"/>
        </w:numPr>
        <w:spacing w:after="120" w:line="276" w:lineRule="auto"/>
        <w:contextualSpacing/>
        <w:rPr>
          <w:sz w:val="22"/>
          <w:szCs w:val="22"/>
        </w:rPr>
      </w:pPr>
      <w:r>
        <w:rPr>
          <w:sz w:val="22"/>
          <w:szCs w:val="22"/>
        </w:rPr>
        <w:lastRenderedPageBreak/>
        <w:t>LCRS: LC</w:t>
      </w:r>
      <w:r>
        <w:rPr>
          <w:sz w:val="22"/>
          <w:szCs w:val="22"/>
        </w:rPr>
        <w:t>RS</w:t>
      </w:r>
    </w:p>
    <w:p w:rsidR="00A346A4" w:rsidRDefault="00017813">
      <w:pPr>
        <w:numPr>
          <w:ilvl w:val="0"/>
          <w:numId w:val="1"/>
        </w:numPr>
        <w:spacing w:after="120" w:line="276" w:lineRule="auto"/>
        <w:contextualSpacing/>
        <w:rPr>
          <w:sz w:val="22"/>
          <w:szCs w:val="22"/>
        </w:rPr>
      </w:pPr>
      <w:r>
        <w:rPr>
          <w:sz w:val="22"/>
          <w:szCs w:val="22"/>
        </w:rPr>
        <w:t>Bit spreading: MUSA</w:t>
      </w:r>
    </w:p>
    <w:p w:rsidR="00A346A4" w:rsidRDefault="00017813">
      <w:pPr>
        <w:spacing w:after="120" w:line="276" w:lineRule="auto"/>
        <w:rPr>
          <w:sz w:val="22"/>
          <w:szCs w:val="22"/>
        </w:rPr>
      </w:pPr>
      <w:r>
        <w:rPr>
          <w:sz w:val="22"/>
          <w:szCs w:val="22"/>
          <w:u w:val="single"/>
        </w:rPr>
        <w:t>Proposal 3</w:t>
      </w:r>
      <w:r>
        <w:rPr>
          <w:sz w:val="22"/>
          <w:szCs w:val="22"/>
        </w:rPr>
        <w:t>: The PAPR of LDS based features needs for further investigation.</w:t>
      </w:r>
    </w:p>
    <w:p w:rsidR="00A346A4" w:rsidRDefault="00017813">
      <w:pPr>
        <w:spacing w:after="120" w:line="276" w:lineRule="auto"/>
        <w:rPr>
          <w:sz w:val="22"/>
          <w:szCs w:val="22"/>
        </w:rPr>
      </w:pPr>
      <w:r>
        <w:rPr>
          <w:sz w:val="22"/>
          <w:szCs w:val="22"/>
          <w:u w:val="single"/>
        </w:rPr>
        <w:t>Proposal 4:</w:t>
      </w:r>
      <w:r>
        <w:rPr>
          <w:sz w:val="22"/>
          <w:szCs w:val="22"/>
        </w:rPr>
        <w:t xml:space="preserve"> Consider multiple features to NOMA scheme regarding different use scenarios.</w:t>
      </w:r>
    </w:p>
    <w:p w:rsidR="00A346A4" w:rsidRDefault="00017813">
      <w:pPr>
        <w:spacing w:after="120" w:line="276" w:lineRule="auto"/>
        <w:rPr>
          <w:sz w:val="22"/>
          <w:szCs w:val="22"/>
        </w:rPr>
      </w:pPr>
      <w:r>
        <w:rPr>
          <w:sz w:val="22"/>
          <w:szCs w:val="22"/>
          <w:u w:val="single"/>
        </w:rPr>
        <w:t>Proposal 5</w:t>
      </w:r>
      <w:r>
        <w:rPr>
          <w:sz w:val="22"/>
          <w:szCs w:val="22"/>
        </w:rPr>
        <w:t>: Companies should study the potential of combining multiple NOMA features under the consideration of the mutual interference within the signature resource pool.</w:t>
      </w:r>
    </w:p>
    <w:p w:rsidR="00A346A4" w:rsidRDefault="00A346A4">
      <w:pPr>
        <w:spacing w:after="120" w:line="276" w:lineRule="auto"/>
        <w:rPr>
          <w:sz w:val="22"/>
          <w:szCs w:val="22"/>
        </w:rPr>
      </w:pPr>
    </w:p>
    <w:p w:rsidR="00A346A4" w:rsidRDefault="00017813">
      <w:pPr>
        <w:widowControl w:val="0"/>
        <w:spacing w:before="160" w:after="280" w:line="276" w:lineRule="auto"/>
        <w:jc w:val="both"/>
        <w:rPr>
          <w:sz w:val="28"/>
          <w:szCs w:val="28"/>
        </w:rPr>
      </w:pPr>
      <w:r>
        <w:rPr>
          <w:rFonts w:eastAsia="Times New Roman"/>
          <w:b/>
          <w:sz w:val="28"/>
          <w:szCs w:val="28"/>
        </w:rPr>
        <w:t>References</w:t>
      </w:r>
    </w:p>
    <w:p w:rsidR="00A346A4" w:rsidRDefault="00017813">
      <w:pPr>
        <w:numPr>
          <w:ilvl w:val="0"/>
          <w:numId w:val="2"/>
        </w:numPr>
        <w:spacing w:after="120" w:line="276" w:lineRule="auto"/>
        <w:ind w:left="360"/>
        <w:rPr>
          <w:sz w:val="22"/>
          <w:szCs w:val="22"/>
        </w:rPr>
      </w:pPr>
      <w:r>
        <w:rPr>
          <w:sz w:val="22"/>
          <w:szCs w:val="22"/>
        </w:rPr>
        <w:t>R1-167563</w:t>
      </w:r>
      <w:r>
        <w:rPr>
          <w:sz w:val="22"/>
          <w:szCs w:val="22"/>
        </w:rPr>
        <w:t>, “</w:t>
      </w:r>
      <w:r>
        <w:rPr>
          <w:sz w:val="22"/>
          <w:szCs w:val="22"/>
        </w:rPr>
        <w:t>On categorization of MA schemes for NR,” InterDigital Communications,</w:t>
      </w:r>
      <w:r>
        <w:rPr>
          <w:sz w:val="22"/>
          <w:szCs w:val="22"/>
        </w:rPr>
        <w:t xml:space="preserve"> RAN1 #86, Gothenburg, Sweden, Aug. 2016.</w:t>
      </w:r>
    </w:p>
    <w:p w:rsidR="00A346A4" w:rsidRDefault="00017813">
      <w:pPr>
        <w:numPr>
          <w:ilvl w:val="0"/>
          <w:numId w:val="2"/>
        </w:numPr>
        <w:spacing w:after="120" w:line="276" w:lineRule="auto"/>
        <w:ind w:left="360"/>
        <w:rPr>
          <w:sz w:val="22"/>
          <w:szCs w:val="22"/>
        </w:rPr>
      </w:pPr>
      <w:r>
        <w:rPr>
          <w:sz w:val="22"/>
          <w:szCs w:val="22"/>
        </w:rPr>
        <w:t>R1-166873, “Discussion</w:t>
      </w:r>
      <w:r>
        <w:rPr>
          <w:sz w:val="22"/>
          <w:szCs w:val="22"/>
        </w:rPr>
        <w:t xml:space="preserve"> on Categorization of MA schemes and target scenarios,” LG Electronics, RAN1 #86, Gothenburg, Sweden, Aug. 2016.</w:t>
      </w:r>
    </w:p>
    <w:p w:rsidR="00A346A4" w:rsidRDefault="00017813">
      <w:pPr>
        <w:numPr>
          <w:ilvl w:val="0"/>
          <w:numId w:val="2"/>
        </w:numPr>
        <w:spacing w:after="120" w:line="276" w:lineRule="auto"/>
        <w:ind w:left="450" w:hanging="450"/>
        <w:rPr>
          <w:sz w:val="22"/>
          <w:szCs w:val="22"/>
        </w:rPr>
      </w:pPr>
      <w:r>
        <w:rPr>
          <w:sz w:val="22"/>
          <w:szCs w:val="22"/>
        </w:rPr>
        <w:t>R1-168068</w:t>
      </w:r>
      <w:r>
        <w:rPr>
          <w:sz w:val="22"/>
          <w:szCs w:val="22"/>
        </w:rPr>
        <w:t>, “</w:t>
      </w:r>
      <w:r>
        <w:rPr>
          <w:sz w:val="22"/>
          <w:szCs w:val="22"/>
        </w:rPr>
        <w:t>WF on UL Multiple Access Scheme Categorization for mMTC,” ZTE, ZTE</w:t>
      </w:r>
      <w:r>
        <w:rPr>
          <w:sz w:val="22"/>
          <w:szCs w:val="22"/>
        </w:rPr>
        <w:t xml:space="preserve"> Microelectronics, Qualcomm, RAN1 #86, Gothenburg, Sweden, Aug. 2016.</w:t>
      </w:r>
    </w:p>
    <w:p w:rsidR="00A346A4" w:rsidRDefault="00017813">
      <w:pPr>
        <w:numPr>
          <w:ilvl w:val="0"/>
          <w:numId w:val="2"/>
        </w:numPr>
        <w:spacing w:after="120" w:line="276" w:lineRule="auto"/>
        <w:ind w:left="450" w:hanging="450"/>
        <w:rPr>
          <w:sz w:val="22"/>
          <w:szCs w:val="22"/>
        </w:rPr>
      </w:pPr>
      <w:r>
        <w:rPr>
          <w:sz w:val="22"/>
          <w:szCs w:val="22"/>
        </w:rPr>
        <w:t>R1-1608956, “</w:t>
      </w:r>
      <w:r>
        <w:rPr>
          <w:sz w:val="22"/>
          <w:szCs w:val="22"/>
        </w:rPr>
        <w:t>Summary of [86-18] email discussion</w:t>
      </w:r>
      <w:bookmarkStart w:id="0" w:name="_GoBack"/>
      <w:bookmarkEnd w:id="0"/>
      <w:r>
        <w:rPr>
          <w:sz w:val="22"/>
          <w:szCs w:val="22"/>
        </w:rPr>
        <w:t xml:space="preserve"> on categorization for NR MA schemes,”</w:t>
      </w:r>
      <w:r>
        <w:rPr>
          <w:sz w:val="22"/>
          <w:szCs w:val="22"/>
        </w:rPr>
        <w:tab/>
        <w:t>ZTE, RAN1 #86b, Lisbon, Portugal, Oct. 2016.</w:t>
      </w:r>
    </w:p>
    <w:p w:rsidR="00A346A4" w:rsidRDefault="00017813">
      <w:pPr>
        <w:numPr>
          <w:ilvl w:val="0"/>
          <w:numId w:val="2"/>
        </w:numPr>
        <w:spacing w:after="120" w:line="276" w:lineRule="auto"/>
        <w:ind w:left="450" w:hanging="450"/>
        <w:rPr>
          <w:sz w:val="22"/>
          <w:szCs w:val="22"/>
        </w:rPr>
      </w:pPr>
      <w:r>
        <w:rPr>
          <w:sz w:val="22"/>
          <w:szCs w:val="22"/>
        </w:rPr>
        <w:t>R1-1611081, “</w:t>
      </w:r>
      <w:r>
        <w:t>Final Report of 3GPP TSG RAN WG1,</w:t>
      </w:r>
      <w:r>
        <w:rPr>
          <w:sz w:val="22"/>
          <w:szCs w:val="22"/>
        </w:rPr>
        <w:t>” RAN1</w:t>
      </w:r>
      <w:r>
        <w:rPr>
          <w:sz w:val="22"/>
          <w:szCs w:val="22"/>
        </w:rPr>
        <w:t xml:space="preserve"> #86b, Lisbon, Portugal, Oct. 2016.  </w:t>
      </w:r>
    </w:p>
    <w:p w:rsidR="00A346A4" w:rsidRDefault="00A346A4">
      <w:pPr>
        <w:spacing w:after="120" w:line="276" w:lineRule="auto"/>
        <w:rPr>
          <w:sz w:val="22"/>
          <w:szCs w:val="22"/>
        </w:rPr>
      </w:pPr>
    </w:p>
    <w:p w:rsidR="00A346A4" w:rsidRDefault="00A346A4">
      <w:pPr>
        <w:spacing w:after="120" w:line="276" w:lineRule="auto"/>
        <w:rPr>
          <w:sz w:val="22"/>
          <w:szCs w:val="22"/>
        </w:rPr>
      </w:pPr>
    </w:p>
    <w:p w:rsidR="00A346A4" w:rsidRDefault="00A346A4">
      <w:pPr>
        <w:widowControl w:val="0"/>
        <w:spacing w:line="276" w:lineRule="auto"/>
        <w:jc w:val="center"/>
        <w:rPr>
          <w:sz w:val="22"/>
          <w:szCs w:val="22"/>
        </w:rPr>
      </w:pPr>
    </w:p>
    <w:sectPr w:rsidR="00A346A4">
      <w:footerReference w:type="even" r:id="rId9"/>
      <w:footerReference w:type="default" r:id="rId10"/>
      <w:pgSz w:w="11906" w:h="16838"/>
      <w:pgMar w:top="1134" w:right="1134" w:bottom="1134" w:left="14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17813">
      <w:r>
        <w:separator/>
      </w:r>
    </w:p>
  </w:endnote>
  <w:endnote w:type="continuationSeparator" w:id="0">
    <w:p w:rsidR="00000000" w:rsidRDefault="0001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auto"/>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6A4" w:rsidRDefault="00017813">
    <w:pPr>
      <w:widowControl w:val="0"/>
      <w:jc w:val="center"/>
      <w:rPr>
        <w:rFonts w:ascii="Batang" w:eastAsia="Batang" w:hAnsi="Batang" w:cs="Batang"/>
      </w:rPr>
    </w:pPr>
    <w:r>
      <w:rPr>
        <w:rFonts w:ascii="Batang" w:eastAsia="Batang" w:hAnsi="Batang" w:cs="Batang"/>
      </w:rPr>
      <w:fldChar w:fldCharType="begin"/>
    </w:r>
    <w:r>
      <w:rPr>
        <w:rFonts w:ascii="Batang" w:eastAsia="Batang" w:hAnsi="Batang" w:cs="Batang"/>
      </w:rPr>
      <w:instrText>PAGE</w:instrText>
    </w:r>
    <w:r>
      <w:rPr>
        <w:rFonts w:ascii="Batang" w:eastAsia="Batang" w:hAnsi="Batang" w:cs="Batang"/>
      </w:rPr>
      <w:fldChar w:fldCharType="end"/>
    </w:r>
  </w:p>
  <w:p w:rsidR="00A346A4" w:rsidRDefault="00A346A4">
    <w:pPr>
      <w:widowControl w:val="0"/>
      <w:jc w:val="both"/>
      <w:rPr>
        <w:rFonts w:ascii="Batang" w:eastAsia="Batang" w:hAnsi="Batang" w:cs="Batang"/>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6A4" w:rsidRDefault="00017813">
    <w:pPr>
      <w:jc w:val="center"/>
    </w:pPr>
    <w:r>
      <w:fldChar w:fldCharType="begin"/>
    </w:r>
    <w:r>
      <w:instrText>PAGE</w:instrText>
    </w:r>
    <w:r>
      <w:fldChar w:fldCharType="separate"/>
    </w:r>
    <w:r>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17813">
      <w:r>
        <w:separator/>
      </w:r>
    </w:p>
  </w:footnote>
  <w:footnote w:type="continuationSeparator" w:id="0">
    <w:p w:rsidR="00000000" w:rsidRDefault="000178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F622A"/>
    <w:multiLevelType w:val="multilevel"/>
    <w:tmpl w:val="64E2C1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301C65D5"/>
    <w:multiLevelType w:val="multilevel"/>
    <w:tmpl w:val="C29A26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5B410DB5"/>
    <w:multiLevelType w:val="multilevel"/>
    <w:tmpl w:val="100C013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7AA617F9"/>
    <w:multiLevelType w:val="multilevel"/>
    <w:tmpl w:val="C5C6D642"/>
    <w:lvl w:ilvl="0">
      <w:start w:val="1"/>
      <w:numFmt w:val="decimal"/>
      <w:lvlText w:val="%1."/>
      <w:lvlJc w:val="left"/>
      <w:pPr>
        <w:ind w:left="425" w:hanging="425"/>
      </w:pPr>
      <w:rPr>
        <w:b/>
        <w:sz w:val="28"/>
        <w:szCs w:val="28"/>
        <w:vertAlign w:val="baseline"/>
      </w:rPr>
    </w:lvl>
    <w:lvl w:ilvl="1">
      <w:start w:val="1"/>
      <w:numFmt w:val="decimal"/>
      <w:lvlText w:val="%1.%2."/>
      <w:lvlJc w:val="left"/>
      <w:pPr>
        <w:ind w:left="567" w:hanging="567"/>
      </w:pPr>
      <w:rPr>
        <w:sz w:val="24"/>
        <w:szCs w:val="24"/>
        <w:vertAlign w:val="baseline"/>
      </w:rPr>
    </w:lvl>
    <w:lvl w:ilvl="2">
      <w:start w:val="1"/>
      <w:numFmt w:val="decimal"/>
      <w:lvlText w:val="%1.%2.%3."/>
      <w:lvlJc w:val="left"/>
      <w:pPr>
        <w:ind w:left="709" w:hanging="709"/>
      </w:pPr>
      <w:rPr>
        <w:vertAlign w:val="baseline"/>
      </w:rPr>
    </w:lvl>
    <w:lvl w:ilvl="3">
      <w:start w:val="1"/>
      <w:numFmt w:val="decimal"/>
      <w:lvlText w:val="%1.%2.%3.%4."/>
      <w:lvlJc w:val="left"/>
      <w:pPr>
        <w:ind w:left="851" w:hanging="851"/>
      </w:pPr>
      <w:rPr>
        <w:vertAlign w:val="baseline"/>
      </w:rPr>
    </w:lvl>
    <w:lvl w:ilvl="4">
      <w:start w:val="1"/>
      <w:numFmt w:val="decimal"/>
      <w:lvlText w:val="%1.%2.%3.%4.%5."/>
      <w:lvlJc w:val="left"/>
      <w:pPr>
        <w:ind w:left="992" w:hanging="992"/>
      </w:pPr>
      <w:rPr>
        <w:vertAlign w:val="baseline"/>
      </w:rPr>
    </w:lvl>
    <w:lvl w:ilvl="5">
      <w:start w:val="1"/>
      <w:numFmt w:val="decimal"/>
      <w:lvlText w:val="%1.%2.%3.%4.%5.%6."/>
      <w:lvlJc w:val="left"/>
      <w:pPr>
        <w:ind w:left="1134" w:hanging="1134"/>
      </w:pPr>
      <w:rPr>
        <w:vertAlign w:val="baseline"/>
      </w:rPr>
    </w:lvl>
    <w:lvl w:ilvl="6">
      <w:start w:val="1"/>
      <w:numFmt w:val="decimal"/>
      <w:lvlText w:val="%1.%2.%3.%4.%5.%6.%7."/>
      <w:lvlJc w:val="left"/>
      <w:pPr>
        <w:ind w:left="1276" w:hanging="1276"/>
      </w:pPr>
      <w:rPr>
        <w:vertAlign w:val="baseline"/>
      </w:rPr>
    </w:lvl>
    <w:lvl w:ilvl="7">
      <w:start w:val="1"/>
      <w:numFmt w:val="decimal"/>
      <w:lvlText w:val="%1.%2.%3.%4.%5.%6.%7.%8."/>
      <w:lvlJc w:val="left"/>
      <w:pPr>
        <w:ind w:left="1418" w:hanging="1418"/>
      </w:pPr>
      <w:rPr>
        <w:vertAlign w:val="baseline"/>
      </w:rPr>
    </w:lvl>
    <w:lvl w:ilvl="8">
      <w:start w:val="1"/>
      <w:numFmt w:val="decimal"/>
      <w:lvlText w:val="%1.%2.%3.%4.%5.%6.%7.%8.%9."/>
      <w:lvlJc w:val="left"/>
      <w:pPr>
        <w:ind w:left="1559" w:hanging="1559"/>
      </w:pPr>
      <w:rPr>
        <w:vertAlign w:val="baseline"/>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docVars>
    <w:docVar w:name="__Grammarly_42____i" w:val="H4sIAAAAAAAEAKtWckksSQxILCpxzi/NK1GyMqwFAAEhoTITAAAA"/>
    <w:docVar w:name="__Grammarly_42___1" w:val="H4sIAAAAAAAEAKtWcslP9kxRslIyNDY0MzcxM7a0NLc0NjE2MzZU0lEKTi0uzszPAykwrAUAV0TalSwAAAA="/>
  </w:docVars>
  <w:rsids>
    <w:rsidRoot w:val="00A346A4"/>
    <w:rsid w:val="00017813"/>
    <w:rsid w:val="00A346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lang w:val="en-US" w:eastAsia="zh-TW"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a7">
    <w:name w:val="header"/>
    <w:basedOn w:val="a"/>
    <w:link w:val="a8"/>
    <w:uiPriority w:val="99"/>
    <w:unhideWhenUsed/>
    <w:rsid w:val="00017813"/>
    <w:pPr>
      <w:tabs>
        <w:tab w:val="center" w:pos="4153"/>
        <w:tab w:val="right" w:pos="8306"/>
      </w:tabs>
      <w:snapToGrid w:val="0"/>
    </w:pPr>
  </w:style>
  <w:style w:type="character" w:customStyle="1" w:styleId="a8">
    <w:name w:val="頁首 字元"/>
    <w:basedOn w:val="a0"/>
    <w:link w:val="a7"/>
    <w:uiPriority w:val="99"/>
    <w:rsid w:val="00017813"/>
  </w:style>
  <w:style w:type="paragraph" w:styleId="a9">
    <w:name w:val="Balloon Text"/>
    <w:basedOn w:val="a"/>
    <w:link w:val="aa"/>
    <w:uiPriority w:val="99"/>
    <w:semiHidden/>
    <w:unhideWhenUsed/>
    <w:rsid w:val="00017813"/>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17813"/>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lang w:val="en-US" w:eastAsia="zh-TW"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a7">
    <w:name w:val="header"/>
    <w:basedOn w:val="a"/>
    <w:link w:val="a8"/>
    <w:uiPriority w:val="99"/>
    <w:unhideWhenUsed/>
    <w:rsid w:val="00017813"/>
    <w:pPr>
      <w:tabs>
        <w:tab w:val="center" w:pos="4153"/>
        <w:tab w:val="right" w:pos="8306"/>
      </w:tabs>
      <w:snapToGrid w:val="0"/>
    </w:pPr>
  </w:style>
  <w:style w:type="character" w:customStyle="1" w:styleId="a8">
    <w:name w:val="頁首 字元"/>
    <w:basedOn w:val="a0"/>
    <w:link w:val="a7"/>
    <w:uiPriority w:val="99"/>
    <w:rsid w:val="00017813"/>
  </w:style>
  <w:style w:type="paragraph" w:styleId="a9">
    <w:name w:val="Balloon Text"/>
    <w:basedOn w:val="a"/>
    <w:link w:val="aa"/>
    <w:uiPriority w:val="99"/>
    <w:semiHidden/>
    <w:unhideWhenUsed/>
    <w:rsid w:val="00017813"/>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178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1763</Words>
  <Characters>10050</Characters>
  <Application>Microsoft Office Word</Application>
  <DocSecurity>0</DocSecurity>
  <Lines>83</Lines>
  <Paragraphs>23</Paragraphs>
  <ScaleCrop>false</ScaleCrop>
  <Company/>
  <LinksUpToDate>false</LinksUpToDate>
  <CharactersWithSpaces>11790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Kao-Peng r1</cp:lastModifiedBy>
  <cp:revision>2</cp:revision>
  <dcterms:created xsi:type="dcterms:W3CDTF">2018-04-06T04:53:00Z</dcterms:created>
  <dcterms:modified xsi:type="dcterms:W3CDTF">2018-04-06T04:58:00Z</dcterms:modified>
</cp:coreProperties>
</file>